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09" w:rsidRPr="00CF5486" w:rsidRDefault="00236109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36109" w:rsidRPr="00CF5486" w:rsidRDefault="00236109" w:rsidP="009C01EE">
      <w:pPr>
        <w:rPr>
          <w:b/>
          <w:bCs/>
        </w:rPr>
      </w:pPr>
    </w:p>
    <w:p w:rsidR="00236109" w:rsidRDefault="00236109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236109" w:rsidRPr="007E2639" w:rsidRDefault="00236109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236109" w:rsidRPr="00CF5486" w:rsidRDefault="00236109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236109" w:rsidRPr="00CF5486" w:rsidRDefault="00236109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Послуга</w:t>
      </w:r>
    </w:p>
    <w:p w:rsidR="00236109" w:rsidRPr="00C64674" w:rsidRDefault="00236109" w:rsidP="009C01EE">
      <w:pPr>
        <w:rPr>
          <w:lang w:val="uk-UA"/>
        </w:rPr>
      </w:pPr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підвезення учнів та педагогічних працівників до місця навчання та у зворотньому напрямку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>згідно ко</w:t>
      </w:r>
      <w:r>
        <w:rPr>
          <w:b/>
          <w:bCs/>
        </w:rPr>
        <w:t>ду ДК 021:2015 (CPV 2008) – 601</w:t>
      </w:r>
      <w:r>
        <w:rPr>
          <w:b/>
          <w:bCs/>
          <w:lang w:val="uk-UA"/>
        </w:rPr>
        <w:t>4</w:t>
      </w:r>
      <w:r>
        <w:rPr>
          <w:b/>
          <w:bCs/>
        </w:rPr>
        <w:t>0000-</w:t>
      </w:r>
      <w:r>
        <w:rPr>
          <w:b/>
          <w:bCs/>
          <w:lang w:val="uk-UA"/>
        </w:rPr>
        <w:t>1</w:t>
      </w:r>
      <w:r w:rsidRPr="00986410">
        <w:rPr>
          <w:b/>
          <w:bCs/>
        </w:rPr>
        <w:t xml:space="preserve"> </w:t>
      </w:r>
      <w:r>
        <w:rPr>
          <w:b/>
          <w:bCs/>
        </w:rPr>
        <w:t>–</w:t>
      </w:r>
      <w:r w:rsidRPr="00986410">
        <w:rPr>
          <w:b/>
          <w:bCs/>
        </w:rPr>
        <w:t xml:space="preserve"> </w:t>
      </w:r>
      <w:r>
        <w:rPr>
          <w:b/>
          <w:bCs/>
          <w:color w:val="000000"/>
          <w:lang w:val="uk-UA"/>
        </w:rPr>
        <w:t>Нерегулярні перевезення пасажирів</w:t>
      </w:r>
    </w:p>
    <w:p w:rsidR="00236109" w:rsidRPr="00CF5486" w:rsidRDefault="00236109" w:rsidP="009C01EE">
      <w:r>
        <w:t xml:space="preserve">6. Дата оголошення: </w:t>
      </w:r>
      <w:r w:rsidRPr="005A7B54">
        <w:rPr>
          <w:b/>
          <w:bCs/>
          <w:color w:val="000000"/>
        </w:rPr>
        <w:t>січень 2024 року</w:t>
      </w:r>
    </w:p>
    <w:p w:rsidR="00236109" w:rsidRPr="00CF5486" w:rsidRDefault="00236109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236109" w:rsidRPr="00CF5486" w:rsidRDefault="00236109" w:rsidP="009C01EE">
      <w:r w:rsidRPr="00CF5486">
        <w:t>8. Ідентифікатори в електронній системі публічних закупівель:</w:t>
      </w:r>
    </w:p>
    <w:p w:rsidR="00236109" w:rsidRPr="00A12851" w:rsidRDefault="00236109" w:rsidP="009C01EE">
      <w:pPr>
        <w:rPr>
          <w:lang w:val="uk-UA"/>
        </w:rPr>
      </w:pPr>
      <w:r w:rsidRPr="00CF5486">
        <w:t xml:space="preserve">8.1. Ідентифікатор плану: </w:t>
      </w:r>
      <w:r w:rsidRPr="003E596C">
        <w:rPr>
          <w:b/>
          <w:bCs/>
        </w:rPr>
        <w:t>UA-P-</w:t>
      </w:r>
      <w:r>
        <w:rPr>
          <w:b/>
          <w:bCs/>
          <w:lang w:val="uk-UA"/>
        </w:rPr>
        <w:t>2024</w:t>
      </w:r>
      <w:r>
        <w:rPr>
          <w:b/>
          <w:bCs/>
        </w:rPr>
        <w:t>-</w:t>
      </w:r>
      <w:r>
        <w:rPr>
          <w:b/>
          <w:bCs/>
          <w:lang w:val="uk-UA"/>
        </w:rPr>
        <w:t>01</w:t>
      </w:r>
      <w:r>
        <w:rPr>
          <w:b/>
          <w:bCs/>
        </w:rPr>
        <w:t>-</w:t>
      </w:r>
      <w:r>
        <w:rPr>
          <w:b/>
          <w:bCs/>
          <w:lang w:val="uk-UA"/>
        </w:rPr>
        <w:t>08</w:t>
      </w:r>
      <w:r>
        <w:rPr>
          <w:b/>
          <w:bCs/>
        </w:rPr>
        <w:t>-</w:t>
      </w:r>
      <w:r>
        <w:rPr>
          <w:b/>
          <w:bCs/>
          <w:lang w:val="uk-UA"/>
        </w:rPr>
        <w:t>001358</w:t>
      </w:r>
      <w:r w:rsidRPr="003E596C">
        <w:rPr>
          <w:b/>
          <w:bCs/>
        </w:rPr>
        <w:t>-</w:t>
      </w:r>
      <w:r>
        <w:rPr>
          <w:b/>
          <w:bCs/>
          <w:lang w:val="uk-UA"/>
        </w:rPr>
        <w:t>а</w:t>
      </w:r>
    </w:p>
    <w:p w:rsidR="00236109" w:rsidRPr="004257B5" w:rsidRDefault="00236109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UA-2024-01-08-002947-a</w:t>
      </w:r>
    </w:p>
    <w:p w:rsidR="00236109" w:rsidRPr="00900E6D" w:rsidRDefault="00236109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236109" w:rsidRDefault="00236109" w:rsidP="009C01EE">
      <w:pPr>
        <w:jc w:val="both"/>
        <w:rPr>
          <w:lang w:val="uk-UA"/>
        </w:rPr>
      </w:pPr>
      <w:r w:rsidRPr="00CF5486">
        <w:t xml:space="preserve">10. Обґрунтування технічних та якісних характеристик предмета закупівлі: </w:t>
      </w:r>
    </w:p>
    <w:p w:rsidR="00236109" w:rsidRPr="00F004DD" w:rsidRDefault="00236109" w:rsidP="00122B33">
      <w:pPr>
        <w:jc w:val="both"/>
        <w:rPr>
          <w:b/>
          <w:shd w:val="clear" w:color="auto" w:fill="FFFFFF"/>
          <w:lang w:val="uk-UA"/>
        </w:rPr>
      </w:pPr>
      <w:r w:rsidRPr="00F004DD">
        <w:rPr>
          <w:b/>
          <w:lang w:val="uk-UA"/>
        </w:rPr>
        <w:t xml:space="preserve">Технічні та якісні характеристики предмета закупівлі визначено із наявної потреби замовника у послугах підвезення учнів та педагогічних працівників до місця навчання та у зворотньому напрямку протягом навчального року. </w:t>
      </w:r>
      <w:r w:rsidRPr="00F004DD">
        <w:rPr>
          <w:b/>
          <w:shd w:val="clear" w:color="auto" w:fill="FFFFFF"/>
        </w:rPr>
        <w:t xml:space="preserve">Перевезення </w:t>
      </w:r>
      <w:r w:rsidRPr="00F004DD">
        <w:rPr>
          <w:b/>
          <w:shd w:val="clear" w:color="auto" w:fill="FFFFFF"/>
          <w:lang w:val="uk-UA"/>
        </w:rPr>
        <w:t xml:space="preserve">повинно </w:t>
      </w:r>
      <w:r w:rsidRPr="00F004DD">
        <w:rPr>
          <w:b/>
          <w:shd w:val="clear" w:color="auto" w:fill="FFFFFF"/>
        </w:rPr>
        <w:t>здійсню</w:t>
      </w:r>
      <w:r w:rsidRPr="00F004DD">
        <w:rPr>
          <w:b/>
          <w:shd w:val="clear" w:color="auto" w:fill="FFFFFF"/>
          <w:lang w:val="uk-UA"/>
        </w:rPr>
        <w:t xml:space="preserve">ватися </w:t>
      </w:r>
      <w:r w:rsidRPr="00F004DD">
        <w:rPr>
          <w:b/>
          <w:shd w:val="clear" w:color="auto" w:fill="FFFFFF"/>
        </w:rPr>
        <w:t>впродовж року</w:t>
      </w:r>
      <w:r w:rsidRPr="00F004DD">
        <w:rPr>
          <w:b/>
          <w:shd w:val="clear" w:color="auto" w:fill="FFFFFF"/>
          <w:lang w:val="uk-UA"/>
        </w:rPr>
        <w:t xml:space="preserve"> </w:t>
      </w:r>
      <w:r w:rsidRPr="00F004DD">
        <w:rPr>
          <w:b/>
          <w:shd w:val="clear" w:color="auto" w:fill="FFFFFF"/>
        </w:rPr>
        <w:t xml:space="preserve">(2024 р.): </w:t>
      </w:r>
      <w:r w:rsidRPr="00F004DD">
        <w:rPr>
          <w:b/>
          <w:bCs/>
          <w:shd w:val="clear" w:color="auto" w:fill="FFFFFF"/>
        </w:rPr>
        <w:t>Понеділок, Вівторок, Середа, Четвер, П’ятниця</w:t>
      </w:r>
      <w:r w:rsidRPr="00F004DD">
        <w:rPr>
          <w:b/>
          <w:shd w:val="clear" w:color="auto" w:fill="FFFFFF"/>
        </w:rPr>
        <w:t>, крім суботи, неділі, державних свят та канікул учнів.</w:t>
      </w:r>
      <w:r w:rsidRPr="00F004DD">
        <w:rPr>
          <w:b/>
          <w:shd w:val="clear" w:color="auto" w:fill="FFFFFF"/>
          <w:lang w:val="uk-UA"/>
        </w:rPr>
        <w:t xml:space="preserve"> Організований підвіз учнів має здійснюватися за такими маршрутами:</w:t>
      </w:r>
    </w:p>
    <w:p w:rsidR="00236109" w:rsidRPr="00F004DD" w:rsidRDefault="00236109" w:rsidP="00B56CF4">
      <w:pPr>
        <w:rPr>
          <w:b/>
          <w:bCs/>
        </w:rPr>
      </w:pPr>
      <w:r w:rsidRPr="00F004DD">
        <w:rPr>
          <w:b/>
          <w:lang w:val="uk-UA"/>
        </w:rPr>
        <w:t xml:space="preserve">Маршрут №1: </w:t>
      </w:r>
      <w:r w:rsidRPr="00F004DD">
        <w:rPr>
          <w:b/>
          <w:bCs/>
          <w:shd w:val="clear" w:color="auto" w:fill="FFFFFF"/>
          <w:lang w:val="uk-UA"/>
        </w:rPr>
        <w:t xml:space="preserve">с. Ковалівка </w:t>
      </w:r>
      <w:r w:rsidRPr="00F004DD">
        <w:rPr>
          <w:b/>
          <w:bCs/>
          <w:lang w:val="uk-UA"/>
        </w:rPr>
        <w:t xml:space="preserve">(Миргородський р-н, Полтавська обл.) </w:t>
      </w:r>
      <w:r w:rsidRPr="00F004DD">
        <w:rPr>
          <w:b/>
          <w:bCs/>
          <w:shd w:val="clear" w:color="auto" w:fill="FFFFFF"/>
          <w:lang w:val="uk-UA"/>
        </w:rPr>
        <w:t xml:space="preserve">- с. Савинці </w:t>
      </w:r>
      <w:r w:rsidRPr="00F004DD">
        <w:rPr>
          <w:b/>
          <w:bCs/>
          <w:lang w:val="uk-UA"/>
        </w:rPr>
        <w:t xml:space="preserve">(Миргородський р-н, Полтавська обл.) </w:t>
      </w:r>
      <w:r w:rsidRPr="00F004DD">
        <w:rPr>
          <w:b/>
          <w:bCs/>
          <w:shd w:val="clear" w:color="auto" w:fill="FFFFFF"/>
          <w:lang w:val="uk-UA"/>
        </w:rPr>
        <w:t xml:space="preserve">- с. Велика Обухівка </w:t>
      </w:r>
      <w:r w:rsidRPr="00F004DD">
        <w:rPr>
          <w:b/>
          <w:bCs/>
          <w:lang w:val="uk-UA"/>
        </w:rPr>
        <w:t xml:space="preserve">(Миргородський р-н, Полтавська обл.) </w:t>
      </w:r>
      <w:r w:rsidRPr="00F004DD">
        <w:rPr>
          <w:b/>
          <w:bCs/>
          <w:shd w:val="clear" w:color="auto" w:fill="FFFFFF"/>
          <w:lang w:val="uk-UA"/>
        </w:rPr>
        <w:t xml:space="preserve">- с. Великі Сорочинці, вул. </w:t>
      </w:r>
      <w:r w:rsidRPr="00F004DD">
        <w:rPr>
          <w:b/>
          <w:bCs/>
          <w:shd w:val="clear" w:color="auto" w:fill="FFFFFF"/>
        </w:rPr>
        <w:t xml:space="preserve">Перемоги, 45 </w:t>
      </w:r>
      <w:r w:rsidRPr="00F004DD">
        <w:rPr>
          <w:b/>
          <w:bCs/>
        </w:rPr>
        <w:t xml:space="preserve">(Миргородський р-н, Полтавська обл.); </w:t>
      </w:r>
    </w:p>
    <w:p w:rsidR="00236109" w:rsidRPr="00F004DD" w:rsidRDefault="00236109" w:rsidP="00B56CF4">
      <w:pPr>
        <w:rPr>
          <w:b/>
          <w:bCs/>
          <w:shd w:val="clear" w:color="auto" w:fill="FFFFFF"/>
          <w:lang w:val="uk-UA"/>
        </w:rPr>
      </w:pPr>
      <w:r w:rsidRPr="00F004DD">
        <w:rPr>
          <w:b/>
          <w:bCs/>
        </w:rPr>
        <w:t>с. Великі Сорочинці, вул. Перемоги 45 (Миргородський р-н, Полтавська обл.) - с. Савинці (Миргородський р-н, Полтавська обл.) - с. Велика Обухівка (Миргородський р-н, Полтавська обл.) - с. Ковалівка (Миргородський р-н, Полтавська обл.)</w:t>
      </w:r>
    </w:p>
    <w:p w:rsidR="00236109" w:rsidRPr="00F004DD" w:rsidRDefault="00236109" w:rsidP="00B56CF4">
      <w:pPr>
        <w:rPr>
          <w:b/>
          <w:bCs/>
        </w:rPr>
      </w:pPr>
      <w:r w:rsidRPr="00F004DD">
        <w:rPr>
          <w:b/>
        </w:rPr>
        <w:t>Маршрут</w:t>
      </w:r>
      <w:r w:rsidRPr="00F004DD">
        <w:rPr>
          <w:b/>
          <w:lang w:val="uk-UA"/>
        </w:rPr>
        <w:t xml:space="preserve"> </w:t>
      </w:r>
      <w:r w:rsidRPr="00F004DD">
        <w:rPr>
          <w:b/>
        </w:rPr>
        <w:t xml:space="preserve">№2: </w:t>
      </w:r>
      <w:r w:rsidRPr="00F004DD">
        <w:rPr>
          <w:b/>
          <w:bCs/>
        </w:rPr>
        <w:t xml:space="preserve">с. Великі Сорочинці (Миргородський р-н, Полтавська обл.) - с. Цисево (Миргородський р-н, Полтавська обл.) - с. Великий Байрак (Миргородський р-н, Полтавська обл.) - с-ще Декабристів вул. Миру, 42 (Миргородський р-н, Полтавська обл.); </w:t>
      </w:r>
    </w:p>
    <w:p w:rsidR="00236109" w:rsidRPr="00F004DD" w:rsidRDefault="00236109" w:rsidP="00B56CF4">
      <w:pPr>
        <w:rPr>
          <w:b/>
          <w:bCs/>
          <w:lang w:val="uk-UA"/>
        </w:rPr>
      </w:pPr>
      <w:r w:rsidRPr="00F004DD">
        <w:rPr>
          <w:b/>
          <w:bCs/>
        </w:rPr>
        <w:t>с-ще Декабристів, вул. Миру, 42 (Миргородський р-н, Полтавська обл.) - с. Великий Байрак (Миргородський р-н, Полтавська обл.) - с. Цисево (Миргородський р-н, Полтавська обл.) - с. Великі Сорочинці (Миргородський р-н, Полтавська обл.)</w:t>
      </w:r>
    </w:p>
    <w:p w:rsidR="00236109" w:rsidRPr="00F004DD" w:rsidRDefault="00236109" w:rsidP="00B56CF4">
      <w:pPr>
        <w:rPr>
          <w:b/>
          <w:lang w:val="uk-UA"/>
        </w:rPr>
      </w:pPr>
      <w:r w:rsidRPr="00F004DD">
        <w:rPr>
          <w:b/>
        </w:rPr>
        <w:t>Під час надання послуг необхідно додержуватися вимог Закону України «Про дорожній рух» та «Правил надання послуг пасажирського автомобільного транспорту», затверджених постановою Кабінету Міністрів України від 18 лютого 1997 р. N 176, Указу Президента України №570/2004 від 20 травня 2004р. «Про заходи щодо посилення безпеки пасажирських перевезень автомобільним транспортом», Постанови Кабінету Міністрів України від 08 жовтня 1997  №1128 «Про забезпечення  транспортних засобів первинними засобами пожежогасіння»</w:t>
      </w:r>
      <w:r w:rsidRPr="00F004DD">
        <w:rPr>
          <w:b/>
          <w:lang w:val="uk-UA"/>
        </w:rPr>
        <w:t xml:space="preserve">. Транспортні засоби повинні бути у належному технічному і санітарному стані, що відповідає нормам експлуатації, укомплектованих згідно з ДСТУ/ГОСТами. Транспортні засоби повинні мати не менше ніж 17 місць (без місця водія), обладнанні автономним опаленням для обігріву салону в холодну пору року, технічний стан повинен забезпечувати безпечні поїздки, зручні та якісні послуги. </w:t>
      </w:r>
    </w:p>
    <w:p w:rsidR="00236109" w:rsidRPr="00F004DD" w:rsidRDefault="00236109" w:rsidP="00950CD1">
      <w:pPr>
        <w:pStyle w:val="BodyText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  <w:lang w:val="uk-UA"/>
        </w:rPr>
      </w:pPr>
      <w:r w:rsidRPr="00F004DD">
        <w:rPr>
          <w:b/>
          <w:bdr w:val="none" w:sz="0" w:space="0" w:color="auto" w:frame="1"/>
          <w:lang w:val="uk-UA"/>
        </w:rPr>
        <w:t>Надавач послуг зобов’язаний вживати заходи для запобігання забруднення навколишнього середовища, зокрема: - не порушувати екологічні права та інтереси місцевих громад; - запобігати виникненню аварійних ситуацій; - запобігати утворення продовольчих відходів; - не допускати розливу нафтопродуктів, мастил та інших хімічних речовин на ґрунт; - ощадливо використовувати воду та електроенергію. Учасник-переможець повинен забезпечити: відповідність стану автотранспорту вимогам щодо підвезення учнів; щоденну перевірку його технічного стану; щоденне кваліфікаційне медичне обстеження стану здоров'я водія; відповідність рівня кваліфікації водіїв, що гарантує безпечне підвезення учнів; можливість підмінного транспорту для надання послуг з підвозу учнів у випадку пошкодження основного транспорту; безпечність школярів в період руху автотранспорту; своєчасну подачу автотранспорту до зазначеного пункту.</w:t>
      </w:r>
    </w:p>
    <w:p w:rsidR="00236109" w:rsidRPr="00CF5486" w:rsidRDefault="00236109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31.12.2024 року</w:t>
      </w:r>
    </w:p>
    <w:p w:rsidR="00236109" w:rsidRPr="00A12851" w:rsidRDefault="00236109" w:rsidP="009C01EE">
      <w:pPr>
        <w:jc w:val="both"/>
        <w:rPr>
          <w:lang w:val="uk-UA"/>
        </w:rPr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596000.00 грн. (п’ятсот дев’яносто шість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  <w:r>
        <w:rPr>
          <w:b/>
          <w:bCs/>
          <w:color w:val="000000"/>
          <w:lang w:val="uk-UA"/>
        </w:rPr>
        <w:t>.</w:t>
      </w:r>
    </w:p>
    <w:p w:rsidR="00236109" w:rsidRPr="00C42E7E" w:rsidRDefault="00236109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236109" w:rsidRPr="00F004DD" w:rsidRDefault="00236109" w:rsidP="009C01EE">
      <w:pPr>
        <w:jc w:val="both"/>
        <w:rPr>
          <w:b/>
          <w:lang w:val="uk-UA"/>
        </w:rPr>
      </w:pPr>
      <w:r w:rsidRPr="00F004DD">
        <w:rPr>
          <w:b/>
          <w:lang w:val="uk-UA"/>
        </w:rPr>
        <w:t xml:space="preserve">Очікувана вартість предмету закупівлі обраховувалась на підставі Примірної методики визначення очікуваної вартості предмета закупівлі, затвердженої наказом Мінекономіки від 18.02.2020 №275 «Про затвердження примірної методики визначення очікуваної вартості предмета закупівлі». </w:t>
      </w:r>
    </w:p>
    <w:p w:rsidR="00236109" w:rsidRPr="00F004DD" w:rsidRDefault="00236109" w:rsidP="009C01EE">
      <w:pPr>
        <w:jc w:val="both"/>
        <w:rPr>
          <w:b/>
          <w:lang w:val="uk-UA"/>
        </w:rPr>
      </w:pPr>
      <w:r w:rsidRPr="00F004DD">
        <w:rPr>
          <w:b/>
          <w:lang w:val="uk-UA"/>
        </w:rPr>
        <w:t xml:space="preserve">Розрахунок очікуваної вартості проводився на підставі обрахованої кількості необхідних днів перевезень, довжини маршруту та вартості одного дня перечення, який в свою чергу обраховувався виходячи з вартості </w:t>
      </w:r>
      <w:smartTag w:uri="urn:schemas-microsoft-com:office:smarttags" w:element="metricconverter">
        <w:smartTagPr>
          <w:attr w:name="ProductID" w:val="1 км"/>
        </w:smartTagPr>
        <w:r w:rsidRPr="00F004DD">
          <w:rPr>
            <w:b/>
            <w:lang w:val="uk-UA"/>
          </w:rPr>
          <w:t>1 км</w:t>
        </w:r>
      </w:smartTag>
      <w:r w:rsidRPr="00F004DD">
        <w:rPr>
          <w:b/>
          <w:lang w:val="uk-UA"/>
        </w:rPr>
        <w:t xml:space="preserve"> (враховувались показники заробітної плати та вартості пального). Крім цього було здійснено аналіз оголошених відкритих торгів з особливостями на веб-сайті Prozorro. Очкувана вартість предмета закупівлі становить 596000.00 грн. (п’ятсот дев’яносто шість тисяч гривень 00 копійок) з ПДВ, в тому числі Лот №1 – 301 000,00 грн. лот №2 - 295 000,00.</w:t>
      </w:r>
    </w:p>
    <w:p w:rsidR="00236109" w:rsidRDefault="00236109" w:rsidP="009C01EE">
      <w:pPr>
        <w:jc w:val="both"/>
        <w:rPr>
          <w:lang w:val="uk-UA"/>
        </w:rPr>
      </w:pPr>
      <w:r>
        <w:t xml:space="preserve">14. Обґрунтування розміру бюджетного призначення: </w:t>
      </w:r>
    </w:p>
    <w:p w:rsidR="00236109" w:rsidRPr="00827C0C" w:rsidRDefault="00236109" w:rsidP="00B74E08">
      <w:pPr>
        <w:jc w:val="both"/>
        <w:rPr>
          <w:b/>
          <w:lang w:val="uk-UA"/>
        </w:rPr>
      </w:pPr>
      <w:r w:rsidRPr="00E553A3">
        <w:rPr>
          <w:b/>
        </w:rPr>
        <w:t>Розмір бюджетного призначення щодо предмета закупівлі визначено</w:t>
      </w:r>
      <w:r>
        <w:rPr>
          <w:b/>
        </w:rPr>
        <w:t xml:space="preserve"> відповідно до кошторису на 202</w:t>
      </w:r>
      <w:r>
        <w:rPr>
          <w:b/>
          <w:lang w:val="uk-UA"/>
        </w:rPr>
        <w:t>4</w:t>
      </w:r>
      <w:r>
        <w:rPr>
          <w:b/>
        </w:rPr>
        <w:t xml:space="preserve"> рік</w:t>
      </w:r>
      <w:r w:rsidRPr="00E553A3">
        <w:rPr>
          <w:b/>
        </w:rPr>
        <w:t xml:space="preserve">. </w:t>
      </w:r>
      <w:r>
        <w:rPr>
          <w:b/>
          <w:lang w:val="uk-UA"/>
        </w:rPr>
        <w:t>КЕКВ 2240.</w:t>
      </w:r>
    </w:p>
    <w:p w:rsidR="00236109" w:rsidRPr="00B74E08" w:rsidRDefault="00236109" w:rsidP="009C01EE">
      <w:pPr>
        <w:jc w:val="both"/>
      </w:pPr>
    </w:p>
    <w:sectPr w:rsidR="00236109" w:rsidRPr="00B74E08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09" w:rsidRDefault="00236109" w:rsidP="00E17930">
      <w:r>
        <w:separator/>
      </w:r>
    </w:p>
  </w:endnote>
  <w:endnote w:type="continuationSeparator" w:id="0">
    <w:p w:rsidR="00236109" w:rsidRDefault="00236109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09" w:rsidRDefault="00236109">
    <w:pPr>
      <w:pStyle w:val="Footer"/>
      <w:jc w:val="right"/>
    </w:pPr>
  </w:p>
  <w:p w:rsidR="00236109" w:rsidRDefault="00236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09" w:rsidRDefault="00236109" w:rsidP="00E17930">
      <w:r>
        <w:separator/>
      </w:r>
    </w:p>
  </w:footnote>
  <w:footnote w:type="continuationSeparator" w:id="0">
    <w:p w:rsidR="00236109" w:rsidRDefault="00236109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2B33"/>
    <w:rsid w:val="001232E1"/>
    <w:rsid w:val="0014133D"/>
    <w:rsid w:val="00157E99"/>
    <w:rsid w:val="00162D7F"/>
    <w:rsid w:val="00164713"/>
    <w:rsid w:val="00182540"/>
    <w:rsid w:val="00192DFC"/>
    <w:rsid w:val="00217112"/>
    <w:rsid w:val="00232C6A"/>
    <w:rsid w:val="00236109"/>
    <w:rsid w:val="002473AC"/>
    <w:rsid w:val="00254D04"/>
    <w:rsid w:val="0025697F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252A"/>
    <w:rsid w:val="004077C6"/>
    <w:rsid w:val="004257B5"/>
    <w:rsid w:val="00426DFC"/>
    <w:rsid w:val="004321E7"/>
    <w:rsid w:val="004325BA"/>
    <w:rsid w:val="00452661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52C59"/>
    <w:rsid w:val="00662B8C"/>
    <w:rsid w:val="00664EE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6AE"/>
    <w:rsid w:val="007F2996"/>
    <w:rsid w:val="007F2BAE"/>
    <w:rsid w:val="007F7FB4"/>
    <w:rsid w:val="00812CD7"/>
    <w:rsid w:val="00825978"/>
    <w:rsid w:val="00827C0C"/>
    <w:rsid w:val="00857C87"/>
    <w:rsid w:val="00864CD4"/>
    <w:rsid w:val="0087633F"/>
    <w:rsid w:val="00883594"/>
    <w:rsid w:val="008B3063"/>
    <w:rsid w:val="008C032E"/>
    <w:rsid w:val="008C47BB"/>
    <w:rsid w:val="00900E6D"/>
    <w:rsid w:val="00901045"/>
    <w:rsid w:val="0090203C"/>
    <w:rsid w:val="00903801"/>
    <w:rsid w:val="00950CD1"/>
    <w:rsid w:val="00986410"/>
    <w:rsid w:val="00994566"/>
    <w:rsid w:val="009A62AC"/>
    <w:rsid w:val="009C01EE"/>
    <w:rsid w:val="009C28D0"/>
    <w:rsid w:val="009D361E"/>
    <w:rsid w:val="00A03F10"/>
    <w:rsid w:val="00A12851"/>
    <w:rsid w:val="00A12DF2"/>
    <w:rsid w:val="00A15F8B"/>
    <w:rsid w:val="00A17AF4"/>
    <w:rsid w:val="00A34596"/>
    <w:rsid w:val="00A4168D"/>
    <w:rsid w:val="00A43ABD"/>
    <w:rsid w:val="00A44253"/>
    <w:rsid w:val="00A44E40"/>
    <w:rsid w:val="00A53B66"/>
    <w:rsid w:val="00A86B71"/>
    <w:rsid w:val="00AB4299"/>
    <w:rsid w:val="00B173A4"/>
    <w:rsid w:val="00B24DA5"/>
    <w:rsid w:val="00B437B8"/>
    <w:rsid w:val="00B518AC"/>
    <w:rsid w:val="00B56CF4"/>
    <w:rsid w:val="00B61420"/>
    <w:rsid w:val="00B628CD"/>
    <w:rsid w:val="00B668CB"/>
    <w:rsid w:val="00B74E08"/>
    <w:rsid w:val="00BB3359"/>
    <w:rsid w:val="00BB3B78"/>
    <w:rsid w:val="00BF4E58"/>
    <w:rsid w:val="00C00716"/>
    <w:rsid w:val="00C00EE5"/>
    <w:rsid w:val="00C05DFD"/>
    <w:rsid w:val="00C42E7E"/>
    <w:rsid w:val="00C5324C"/>
    <w:rsid w:val="00C61BE0"/>
    <w:rsid w:val="00C64674"/>
    <w:rsid w:val="00CA1F80"/>
    <w:rsid w:val="00CA5549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53FDC"/>
    <w:rsid w:val="00E553A3"/>
    <w:rsid w:val="00E73E29"/>
    <w:rsid w:val="00E81D3A"/>
    <w:rsid w:val="00EA341B"/>
    <w:rsid w:val="00EA576B"/>
    <w:rsid w:val="00EE42EF"/>
    <w:rsid w:val="00EE560E"/>
    <w:rsid w:val="00F004DD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4713"/>
    <w:rPr>
      <w:rFonts w:cs="Times New Roman"/>
      <w:sz w:val="24"/>
      <w:szCs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BodyText">
    <w:name w:val="Body Text"/>
    <w:basedOn w:val="Normal"/>
    <w:link w:val="BodyTextChar"/>
    <w:uiPriority w:val="99"/>
    <w:rsid w:val="00950CD1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252A"/>
    <w:rPr>
      <w:rFonts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2</Pages>
  <Words>831</Words>
  <Characters>4737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15</cp:revision>
  <dcterms:created xsi:type="dcterms:W3CDTF">2015-05-29T12:53:00Z</dcterms:created>
  <dcterms:modified xsi:type="dcterms:W3CDTF">2024-09-24T12:28:00Z</dcterms:modified>
</cp:coreProperties>
</file>